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noProof/>
          <w:szCs w:val="28"/>
        </w:rPr>
      </w:pPr>
    </w:p>
    <w:p>
      <w:pPr>
        <w:jc w:val="center"/>
        <w:rPr>
          <w:noProof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БЛАГОДАРНЕНСКОГО </w:t>
      </w:r>
      <w:proofErr w:type="gramStart"/>
      <w:r>
        <w:rPr>
          <w:b/>
          <w:sz w:val="32"/>
          <w:szCs w:val="32"/>
        </w:rPr>
        <w:t>СЕЛЬСКОГО</w:t>
      </w:r>
      <w:proofErr w:type="gramEnd"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ОТРАДНЕНСКОГО РАЙОНА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</w:rPr>
      </w:pPr>
    </w:p>
    <w:p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от </w:t>
      </w:r>
      <w:r>
        <w:rPr>
          <w:bCs/>
          <w:sz w:val="28"/>
          <w:szCs w:val="32"/>
          <w:u w:val="single"/>
        </w:rPr>
        <w:t>29.12.2022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</w:t>
      </w:r>
      <w:r>
        <w:rPr>
          <w:bCs/>
          <w:sz w:val="28"/>
          <w:szCs w:val="32"/>
        </w:rPr>
        <w:tab/>
        <w:t>№ 96</w:t>
      </w:r>
    </w:p>
    <w:p>
      <w:pPr>
        <w:jc w:val="center"/>
        <w:rPr>
          <w:bCs/>
        </w:rPr>
      </w:pPr>
      <w:r>
        <w:rPr>
          <w:bCs/>
        </w:rPr>
        <w:t>с. Благодарное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принятия решения о предоставлении бюджетных инвестиций юридическим лицам, не являющимся муниципальными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и муниципальными унитарными предприятиями,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недвижимого имущества за счет средств бюджета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Благодарненского сельского поселения </w:t>
      </w:r>
    </w:p>
    <w:p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требований к договорам, </w:t>
      </w:r>
    </w:p>
    <w:p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заключаемым в связи с предоставлением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указанных инвестиций</w:t>
      </w:r>
    </w:p>
    <w:p>
      <w:pPr>
        <w:jc w:val="both"/>
        <w:rPr>
          <w:sz w:val="20"/>
          <w:szCs w:val="20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статьей 80 Бюджетного кодекса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ции, руководствуясь Уставом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принятия решения о предоставлении бюджетных инвестиций юридическим лицам, не являющимся муниципальными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и муниципальными унитарными предприятиями, в объекты капитальн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 и (или) на приобретение объектов недвижимого имущества за счет средств бюджета Благодарненского сельского поселения Отрадненского района (Приложение № 1).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требования к договорам, заключаемым в связи с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бюджетных инвестиций юридическим лицам, не являющимся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учреждениями и муниципальными унитарными предприятиями, в объекты капитального строительства и (или) на приобретение объектов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жимого имущества за счет средств бюджета Благодарненского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Отрадненского района (Приложение № 2).</w:t>
      </w:r>
    </w:p>
    <w:p>
      <w:pPr>
        <w:shd w:val="clear" w:color="auto" w:fill="FFFFFF"/>
        <w:tabs>
          <w:tab w:val="left" w:pos="567"/>
        </w:tabs>
        <w:suppressAutoHyphens/>
        <w:spacing w:line="322" w:lineRule="exac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Общему отделу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(Е.П. Науменко) разместить настоящее постановление на официальном сайте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>
      <w:pPr>
        <w:shd w:val="clear" w:color="auto" w:fill="FFFFFF"/>
        <w:suppressAutoHyphens/>
        <w:ind w:firstLine="567"/>
        <w:jc w:val="both"/>
        <w:rPr>
          <w:bCs/>
          <w:color w:val="000000"/>
          <w:spacing w:val="-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  <w:lang w:eastAsia="ar-SA"/>
        </w:rPr>
        <w:t>4</w:t>
      </w:r>
      <w:r>
        <w:rPr>
          <w:bCs/>
          <w:color w:val="000000"/>
          <w:spacing w:val="-1"/>
          <w:sz w:val="28"/>
          <w:szCs w:val="28"/>
          <w:lang w:eastAsia="ar-SA"/>
        </w:rPr>
        <w:t>. Контроль за выполнением настоящего постановления отставляю за собой.</w:t>
      </w:r>
    </w:p>
    <w:p>
      <w:pPr>
        <w:suppressAutoHyphens/>
        <w:ind w:firstLine="567"/>
        <w:jc w:val="both"/>
        <w:rPr>
          <w:color w:val="000000"/>
          <w:spacing w:val="13"/>
          <w:sz w:val="28"/>
          <w:szCs w:val="28"/>
          <w:lang w:eastAsia="ar-SA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>5</w:t>
      </w:r>
      <w:r>
        <w:rPr>
          <w:color w:val="000000"/>
          <w:spacing w:val="-2"/>
          <w:sz w:val="28"/>
          <w:szCs w:val="28"/>
          <w:lang w:eastAsia="ar-SA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сельского </w:t>
      </w: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Охрименко</w:t>
      </w:r>
    </w:p>
    <w:p>
      <w:pPr>
        <w:jc w:val="both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>
        <w:tc>
          <w:tcPr>
            <w:tcW w:w="4802" w:type="dxa"/>
          </w:tcPr>
          <w:p>
            <w:pPr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36" w:type="dxa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годарненского сельского поселения Отрадненского района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en-US"/>
              </w:rPr>
              <w:t xml:space="preserve">22 </w:t>
            </w:r>
            <w:r>
              <w:rPr>
                <w:sz w:val="28"/>
                <w:szCs w:val="28"/>
              </w:rPr>
              <w:t>№ 96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предоставлении бюджетных инвестиций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юридическим лицам, не являющимся муниципальными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и муниципальными унитарными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предприятиями, в объекты капитального строи-</w:t>
      </w:r>
    </w:p>
    <w:p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тельства</w:t>
      </w:r>
      <w:proofErr w:type="spellEnd"/>
      <w:r>
        <w:rPr>
          <w:b/>
          <w:sz w:val="28"/>
          <w:szCs w:val="28"/>
        </w:rPr>
        <w:t xml:space="preserve"> и (или) на приобретение объектов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имущества за счет средств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Благодарненского сельского </w:t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поселения Отрадненского района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>
      <w:pPr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ями (далее – юридическое лицо), в объекты капитального строительства за счет средств бюджета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ческих лиц, и (или) приобретению ими объектов недвижимого имущества (д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лее соответственно –бюджетные инвестиции, решение).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Инициатором подготовки проекта решения выступает главный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порядитель средств бюджета </w:t>
      </w:r>
      <w:r>
        <w:rPr>
          <w:sz w:val="28"/>
          <w:szCs w:val="28"/>
        </w:rPr>
        <w:t>Благодарненского сельского поселения Отрадне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>
        <w:rPr>
          <w:bCs/>
          <w:sz w:val="28"/>
          <w:szCs w:val="28"/>
        </w:rPr>
        <w:t xml:space="preserve"> – администрация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sz w:val="28"/>
          <w:szCs w:val="28"/>
        </w:rPr>
        <w:t xml:space="preserve"> (далее – главный распорядитель).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Решение о предоставлении бюджетных инвестиций принимается в форме постановления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Отбор объектов капитального строительства и объектов недвижимого имущества, на реализацию инвестиционных проектов по строительству, реко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струкции, в том числе с элементами реставрации, техническому перевооруж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 и (или) приобретению которых необходимо осуществлять бюджетные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вестиции, производится с учетом: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>
        <w:rPr>
          <w:sz w:val="28"/>
          <w:szCs w:val="28"/>
        </w:rPr>
        <w:lastRenderedPageBreak/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, муниципальных программах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>,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кументах территориального планирования </w:t>
      </w:r>
      <w:r>
        <w:rPr>
          <w:sz w:val="28"/>
          <w:szCs w:val="28"/>
        </w:rPr>
        <w:t>Благодарненского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Отрадненского района</w:t>
      </w:r>
      <w:r>
        <w:rPr>
          <w:bCs/>
          <w:sz w:val="28"/>
          <w:szCs w:val="28"/>
        </w:rPr>
        <w:t>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поручений и указаний Президента Российской Федерации, поручений Правительства Российской Федерации, поручений губернатора Краснодарского края, поручений главы муниципального образования Отрадненский район,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ручений главы администрации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sz w:val="28"/>
          <w:szCs w:val="28"/>
        </w:rPr>
        <w:t>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оценки эффективности использования средств бюджета </w:t>
      </w:r>
      <w:r>
        <w:rPr>
          <w:sz w:val="28"/>
          <w:szCs w:val="28"/>
        </w:rPr>
        <w:t>Благодарне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Отрадненского района</w:t>
      </w:r>
      <w:r>
        <w:rPr>
          <w:bCs/>
          <w:sz w:val="28"/>
          <w:szCs w:val="28"/>
        </w:rPr>
        <w:t>, направляемых на капитал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ные вложения;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оценки влияния создания объекта капитального строительства на ко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плексное развитие территории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sz w:val="28"/>
          <w:szCs w:val="28"/>
        </w:rPr>
        <w:t>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Предоставление бюджетных инвестиций осуществляется при усл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вии, что эти инвестиции не могут быть направлены юридическим лицом на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нансовое обеспечение следующих работ: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разработка проектной документации на объекты капитального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 и проведение инженерных изысканий, выполняемых для подготовки такой проектной документации;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приобретение земельных участков под строительство;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проведение технологического и ценового аудита инвестиционных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ектов по строительству (реконструкции, техническому перевооружению)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ектов капитального строительства в установленных законодательством Росси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 случаях;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проведение государственной экспертизы проектной документации и результатов инженерных изысканий, выполняемых для подготовки такой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ектной документации;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нансируется с привлечением средств бюджета </w:t>
      </w:r>
      <w:r>
        <w:rPr>
          <w:sz w:val="28"/>
          <w:szCs w:val="28"/>
        </w:rPr>
        <w:t>Благодарненского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Отрадненского района</w:t>
      </w:r>
      <w:r>
        <w:rPr>
          <w:bCs/>
          <w:sz w:val="28"/>
          <w:szCs w:val="28"/>
        </w:rPr>
        <w:t>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проведение аудита проектной документации в случаях, установленных законодательством Российской Федерации.</w:t>
      </w:r>
    </w:p>
    <w:p>
      <w:pPr>
        <w:jc w:val="both"/>
        <w:rPr>
          <w:bCs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ПОДГОТОВКА ПРОЕКТА РЕШЕНИЯ</w:t>
      </w:r>
    </w:p>
    <w:p>
      <w:pPr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Главный распорядитель подготавливает проект решения в форме проекта постановления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>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 В проект решения включается объект капитального строительства и (или) объект недвижимого имущества, инвестиционные проекты, в отношении которых соответствуют качественным и количественным критериям и предел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ному (минимальному) значению интегральной оценки эффективности испол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зования средств бюджета </w:t>
      </w:r>
      <w:r>
        <w:rPr>
          <w:sz w:val="28"/>
          <w:szCs w:val="28"/>
        </w:rPr>
        <w:t>Благодарненского сельского поселения Отрадненск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>
        <w:rPr>
          <w:bCs/>
          <w:sz w:val="28"/>
          <w:szCs w:val="28"/>
        </w:rPr>
        <w:t>, направляемых на капитальные вложения, проведенной главным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порядителем в порядке, установленном муниципальным правовым актом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о проведении проверки инвестиционных проектов на предмет эффективности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пользования средств бюджета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sz w:val="28"/>
          <w:szCs w:val="28"/>
        </w:rPr>
        <w:t xml:space="preserve">, направляемых на капитальные вложения, а также документам территориального планирования </w:t>
      </w:r>
      <w:r>
        <w:rPr>
          <w:sz w:val="28"/>
          <w:szCs w:val="28"/>
        </w:rPr>
        <w:t>Благодарненского сельского поселения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радненского района</w:t>
      </w:r>
      <w:r>
        <w:rPr>
          <w:bCs/>
          <w:sz w:val="28"/>
          <w:szCs w:val="28"/>
        </w:rPr>
        <w:t>, в случае если объект капитального строительства и (или) объект недвижимого имущества являются объектами, подлежащими отраж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 в этих документах.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Проектом решения могут предусматриваться несколько объектов кап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тального строительства или объектов недвижимого имущества одного юрид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ческого лица, относящихся к одному мероприятию муниципальной программы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или одной сфере деятельности главного распорядителя.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Проект решения содержит в отношении каждого объекта капитальн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строительства и (или) объекта недвижимого имущества следующую инфо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мацию: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наименование объекта капитального строительства согласно проектной документации (согласно паспорту инвестиционного проекта в отношении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екта капитального строительства в случае отсутствия утвержденной в устано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ленном законодательством Российской Федерации порядке проектной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тального строительства и (или) приобретение объекта недвижимости);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определение главного распорядителя;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определение застройщика или заказчика (заказчика-застройщика);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мощность (прирост мощности) объекта капитального строительства, подлежащая вводу в эксплуатацию, мощность объекта недвижимого имущ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ства;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срок ввода в эксплуатацию объекта капитального строительства и (или) приобретения объекта недвижимости;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сметная стоимость объекта капитального строительства (при наличии утвержденной проектной документации) или предполагаемая (предельная) ст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lastRenderedPageBreak/>
        <w:t>онного проекта (в ценах соответствующих лет реализации инвестиционного проекта);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щества, а также его распределение по годам реализации инвестиционного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екта (в ценах соответствующих лет реализации инвестиционного проекта);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инвестиционного проекта).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Общий (предельный) объем бюджетных инвестиций, предоставля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полагаемой (предельной) стоимости объекта капитального строительства и (или) стоимости приобретения объекта недвижимого имущества согласно па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порту инвестиционного проекта (в ценах соответствующих лет реализации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вестиционного проекта).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реализации инвестиционного проекта в рамках мероприятия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ниципальной программы </w:t>
      </w:r>
      <w:proofErr w:type="spellStart"/>
      <w:r>
        <w:rPr>
          <w:bCs/>
          <w:sz w:val="28"/>
          <w:szCs w:val="28"/>
        </w:rPr>
        <w:t>Чамлыкского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Лабинского</w:t>
      </w:r>
      <w:proofErr w:type="spellEnd"/>
      <w:r>
        <w:rPr>
          <w:bCs/>
          <w:sz w:val="28"/>
          <w:szCs w:val="28"/>
        </w:rPr>
        <w:t xml:space="preserve"> района (предельный) объем бюджетных инвестиций, предоставляемых на реализацию такого инвестиционного проекта, не должен превышать объем бюджетных 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сигнований на реализацию соответствующего мероприятия этой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программы.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Финансовый орган администрации </w:t>
      </w:r>
      <w:r>
        <w:rPr>
          <w:sz w:val="28"/>
          <w:szCs w:val="28"/>
        </w:rPr>
        <w:t>Благодарненского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Отрадненского района</w:t>
      </w:r>
      <w:r>
        <w:rPr>
          <w:bCs/>
          <w:sz w:val="28"/>
          <w:szCs w:val="28"/>
        </w:rPr>
        <w:t xml:space="preserve"> (далее – финансовый орган) осуществляет подг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товку пояснительной записки и финансово-экономического обоснования к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екту решения, а также проводит оценку обоснованности и эффективности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пользования средств бюджета поселения, направляемых на капитальные вл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жения, в соответствии с муниципальным правовым актом администрации </w:t>
      </w:r>
      <w:r>
        <w:rPr>
          <w:sz w:val="28"/>
          <w:szCs w:val="28"/>
        </w:rPr>
        <w:t>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о проведении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верки инвестиционных проектов на предмет эффективности использования средств бюджета </w:t>
      </w:r>
      <w:r>
        <w:rPr>
          <w:sz w:val="28"/>
          <w:szCs w:val="28"/>
        </w:rPr>
        <w:t>Благодарненского сельского поселения Отрадненского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>
        <w:rPr>
          <w:bCs/>
          <w:sz w:val="28"/>
          <w:szCs w:val="28"/>
        </w:rPr>
        <w:t>, направляемых на капитальные вложения.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Финансовый орган направляет проект решения с пояснительной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пиской, финансово-экономическим обоснованием и заключением об эффекти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на утверждение не позднее, чем за два месяца до определенной в установленном порядке даты начала рассмотрения проектировок бюджета </w:t>
      </w:r>
      <w:r>
        <w:rPr>
          <w:sz w:val="28"/>
          <w:szCs w:val="28"/>
        </w:rPr>
        <w:t>Благодарненского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Отрадненского района</w:t>
      </w:r>
      <w:r>
        <w:rPr>
          <w:bCs/>
          <w:sz w:val="28"/>
          <w:szCs w:val="28"/>
        </w:rPr>
        <w:t xml:space="preserve"> на очередной финансовый год.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2.7. Одновременно с документами, указанными в пункте 2.6 настоящего Порядка, главе администрации </w:t>
      </w:r>
      <w:r>
        <w:rPr>
          <w:sz w:val="28"/>
          <w:szCs w:val="28"/>
        </w:rPr>
        <w:t>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</w:t>
      </w:r>
      <w:r>
        <w:rPr>
          <w:bCs/>
          <w:sz w:val="28"/>
          <w:szCs w:val="28"/>
        </w:rPr>
        <w:t xml:space="preserve">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2.2 настоящего Порядка, и результаты такой интегральной оценки. Кроме того, представляются следу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щие документы: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решение общего собрания акционеров юридического лица о выплате дивидендов по акциям всех категорий (типов) за последние 2 года;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решение уполномоченного органа юридического лица о финансиров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нии объекта капитального строительства и (или) объекта недвижимого имущ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ства в объеме, предусмотренном в подпункте 3 пункта 2.3 настоящего Порядка.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Обязательным условием утверждения проекта решения главой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явл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ется положительное заключение финансового органа об эффективности испол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зования средств бюджета </w:t>
      </w:r>
      <w:r>
        <w:rPr>
          <w:sz w:val="28"/>
          <w:szCs w:val="28"/>
        </w:rPr>
        <w:t>Благодарненского сельского поселения Отрадненск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>
        <w:rPr>
          <w:bCs/>
          <w:sz w:val="28"/>
          <w:szCs w:val="28"/>
        </w:rPr>
        <w:t>, направляемых на капитальные вложения, в отношении объекта кап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тального строительства и (или) объекта недвижимого имущества, включенных в проект решения.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Внесение изменений в решение осуществляется в соответствии с настоящим Порядком.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 Одновременно с проектом решения главным распорядителем подг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тавливается проект договора о предоставлении бюджетных инвестиций.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участием муниципального образования в уставных (складочных) капиталах 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ких юридических лиц в соответствии с гражданским законодательством Ро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сийской Федерации.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Договор оформляется </w:t>
      </w:r>
      <w:r>
        <w:rPr>
          <w:sz w:val="28"/>
          <w:szCs w:val="28"/>
        </w:rPr>
        <w:t>Благодарненского сельского поселения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радненского района</w:t>
      </w:r>
      <w:r>
        <w:rPr>
          <w:bCs/>
          <w:sz w:val="28"/>
          <w:szCs w:val="28"/>
        </w:rPr>
        <w:t xml:space="preserve"> в течение трех месяцев после дня вступления в силу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о бюджете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bCs/>
          <w:sz w:val="28"/>
          <w:szCs w:val="28"/>
        </w:rPr>
        <w:t xml:space="preserve"> на соответствующий финансовый год.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Отсутствие оформленных в установленном порядке договоров 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жит основанием для непредставления бюджетных инвестиций.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Благодарненского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                                Е.Н. Иванищенко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>
        <w:tc>
          <w:tcPr>
            <w:tcW w:w="492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годарненского сельского поселения Отрадненского района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08.06.2018   № 57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договорам, заключаемым в связи с предоставлением бюджетных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инвестиций юридическим лицам, не являющимся муниципальными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учреждениями и муниципальными унитарными предприятиями,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недвижимого имущества за счет средств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Благодарненского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случае предоставления бюджетных инвестиций юридическим лицам, не являющимся муниципальными учреждениями и муниципальными унита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бюджета Благодарненского сельского поселения Отрадненского района (далее – бюджетные инвестиции) одновременно с проектом решения о предоставлении бюджетных инвестиций главным распорядителем средств бюджета Благодарненского сельского поселения Отрадненского района (далее – главный распорядитель) подготавливается проект договора между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Благодарненского сельского поселения Отрадненского района и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дическим лицом об участии Благодарненского сельского поселения Отрадне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в собственности субъекта инвестиций, который должен содержать следующие положения: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целевое назначение бюджетных инвестиций и их объем (с 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по годам);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каждого объекта капитального строительства и (или) объекта недвижимого имущества, информация о его мощности, сроке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с выделением объема бюджетных инвестиций и иных источников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 (с распределением указанных объемов по годам);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показатели результативности предоставления бюджетных инвестиций (далее – показатели результативности) и их значения;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сроки (порядок определения сроков) принятия в установленном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порядке решения об увеличении уста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капитала юридического лица, получающего бюджетные инвестиции,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ляющегося акционерным обществом, путем размещения дополнительных акций на сумму предоставляемых бюджетных инвестиций;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условие об осуществлении операций по зачислению (списанию) средств на счет, указанный в подпункте 7 настоящего пункта,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Федеральным казначейством, с отражением указанных операций на лицевом счете, предназначенном для учета операций со средствами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 не являющихся участниками бюджетного процесса, открытом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дическому лицу, получающему бюджетные инвестиции,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Федеральным казначейством;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условие об осуществлении операций по списанию средств, отраженных на лицевом счете, указанном в подпункте 8 настоящего пункта, после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территориальным органом Федерального казначейства санкционирования операций в порядке, установленном Министерством финансов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определяющем в том числе перечень документов, подлежащих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в территориальный орган Федерального казначейства для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возникновения денежных обязательств юридического лица, получа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бюджетные инвестиции, источником финансового обеспечения которых являются указанные средства;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положения о запрете: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юридическим лицом, получающим бюджетные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ции, за счет полученных средств иностранной валюты, за исключением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осуществляемых в соответствии с валютным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при закупке (поставке) высокотехнологичного импортного оборудования, сырья и комплектующих изделий, а также иных операций,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достижением целей предоставления бюджетных инвестиций 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деленных решениями администрации Благодарненского сельского поселения Отрадненского района;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осуществление операций, определенных нормативными правовыми актами Правительства Российской Федерации, в том числе в случаях,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соответствии с бюджетным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при осуществлении казначейского сопровождения бюджетных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порядок и сроки представления юридическим лицом, получающим бюджетные инвестиции, установленной администрацией Благодарненского сельского поселения Отрадненского района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право администрации Благодарненского сельского поселения Отра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ненского района на проведение проверок соблюдения юридическим лицом,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лучающим бюджетные инвестиции, целей, условий и порядка предоставления бюджетных инвестиций;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ответственность юридического лица, получающего бюджетные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стиции, за несоблюдение условий предоставления бюджетных инвестиций;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порядок возврата юридическим лицом, получающим бюджетные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вестиции, полученных средств в случае установления факта несоблюдения им целей, условий и порядка предоставления бюджетных инвестиций;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обязательство юридического лица, получающего бюджетные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стиции, обеспечить вложение в реализацию инвестиционного проекта по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ительству (реконструкции, в том числе с элементами реставрации, техническ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перевооружению) объектов капитального строительства и (или)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объектов недвижимого имущества инвестиций в объеме, предусмотренном принятым в установленном администрацией Благодарненского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Отрадненского района порядке решением (нормативным правовым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том) администрации Благодарненского сельского поселения Отрадненского района о предоставлении бюджетных инвестиций;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обязанность юридического лица, получающего бюджетные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ции, обеспечить разработку проектной документации в отношении объектов капитального строительства и проведение инженерных изысканий, выполня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для подготовки такой проектной документации, приобретение земельных участков под строительство (в случае необходимости), проведение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экспертизы проектной документации и результатов инженерных изысканий, проведение в установленном Правительством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порядке проверки достоверности определения сметной стоимости объектов капитального строительства, а также проведение в установленных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случаях и порядке технологического и ценового аудита инвестиционных проектов и аудита проектной документации без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на эти цели бюджетных инвестиций;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условие о соблюдении юридическим лицом, получающим бюджетные инвестиции, при определении поставщиков (подрядчиков, исполнителей)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полнении гражданско-правовых договоров, которые полностью либо частично оплачиваются за счет полученных средств, положений, установленных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дательством Российской Федерации о контрактной системе в сфере закупок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 для обеспечения государственных и муниципальных нужд;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обязательство юридического лица, получающего бюджетные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стиции, обеспечить осуществление эксплуатационных расходов, необходимых для содержания объектов капитального строительства и (или) объектов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жимого имущества после ввода их в эксплуатацию и (или) приобретения, без использования на эти цели средств, предоставляемых из бюджета Благодарне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Отрадненского района, в том числе в соответствии с иными договорами о предоставлении бюджетных инвестиций.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жетные инвестиции, объектов недвижимого имущества должны соответств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аналогичным положениям принятого в установленном порядке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правового акта Благодарненского сельского поселения Отрадненского района о предоставлении бюджетных инвестиций.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Договор о предоставлении бюджетных инвестиций заключается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бюджетных ассигнований, утвержденных решением Совета Благодарне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сельского поселения Отрадненского района о бюджете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финансовый год.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Благодарненского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Е.Н. Иванищенко</w:t>
      </w:r>
    </w:p>
    <w:sectPr>
      <w:headerReference w:type="even" r:id="rId8"/>
      <w:headerReference w:type="default" r:id="rId9"/>
      <w:pgSz w:w="11906" w:h="16838" w:code="9"/>
      <w:pgMar w:top="426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>
    <w:pPr>
      <w:pStyle w:val="af5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f5"/>
      <w:jc w:val="center"/>
      <w:rPr>
        <w:noProof/>
        <w:sz w:val="28"/>
        <w:szCs w:val="28"/>
        <w:lang w:val="en-US"/>
      </w:rPr>
    </w:pPr>
  </w:p>
  <w:p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1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Pr>
      <w:rFonts w:cs="Times New Roman"/>
    </w:rPr>
  </w:style>
  <w:style w:type="paragraph" w:customStyle="1" w:styleId="af8">
    <w:name w:val="Таблицы (моноширинный)"/>
    <w:basedOn w:val="a"/>
    <w:next w:val="a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6z0">
    <w:name w:val="WW8Num6z0"/>
  </w:style>
  <w:style w:type="character" w:customStyle="1" w:styleId="WW-Absatz-Standardschriftart">
    <w:name w:val="WW-Absatz-Standardschriftart"/>
  </w:style>
  <w:style w:type="character" w:customStyle="1" w:styleId="15">
    <w:name w:val="Основной шрифт абзаца1"/>
  </w:style>
  <w:style w:type="character" w:customStyle="1" w:styleId="afc">
    <w:name w:val="Цветовое выделение"/>
    <w:rPr>
      <w:b/>
      <w:color w:val="000080"/>
    </w:rPr>
  </w:style>
  <w:style w:type="character" w:customStyle="1" w:styleId="PlainTextChar">
    <w:name w:val="Plain Text Char"/>
    <w:basedOn w:val="15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</w:style>
  <w:style w:type="character" w:customStyle="1" w:styleId="ListLabel5">
    <w:name w:val="ListLabel 5"/>
    <w:rPr>
      <w:i/>
    </w:rPr>
  </w:style>
  <w:style w:type="character" w:customStyle="1" w:styleId="afd">
    <w:name w:val="Символ нумерации"/>
  </w:style>
  <w:style w:type="paragraph" w:customStyle="1" w:styleId="16">
    <w:name w:val="Заголовок1"/>
    <w:basedOn w:val="a"/>
    <w:next w:val="a0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Pr>
      <w:rFonts w:cs="Times New Roman"/>
      <w:b/>
      <w:bCs/>
    </w:rPr>
  </w:style>
  <w:style w:type="character" w:customStyle="1" w:styleId="apple-converted-space">
    <w:name w:val="apple-converted-space"/>
    <w:basedOn w:val="a1"/>
    <w:rPr>
      <w:rFonts w:cs="Times New Roman"/>
    </w:rPr>
  </w:style>
  <w:style w:type="table" w:styleId="aff2">
    <w:name w:val="Table Grid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Pr>
      <w:b/>
      <w:bCs/>
    </w:rPr>
  </w:style>
  <w:style w:type="character" w:customStyle="1" w:styleId="Heading9Char">
    <w:name w:val="Heading 9 Char"/>
    <w:basedOn w:val="15"/>
    <w:rPr>
      <w:b/>
      <w:bCs/>
    </w:rPr>
  </w:style>
  <w:style w:type="character" w:customStyle="1" w:styleId="BodyTextIndentChar">
    <w:name w:val="Body Text Indent Char"/>
    <w:basedOn w:val="15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Pr>
      <w:b/>
      <w:bCs/>
      <w:sz w:val="24"/>
      <w:szCs w:val="24"/>
    </w:rPr>
  </w:style>
  <w:style w:type="character" w:customStyle="1" w:styleId="BalloonTextChar">
    <w:name w:val="Balloon Text Char"/>
    <w:basedOn w:val="15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Pr>
      <w:sz w:val="24"/>
      <w:szCs w:val="24"/>
      <w:lang w:eastAsia="ar-SA" w:bidi="ar-SA"/>
    </w:rPr>
  </w:style>
  <w:style w:type="paragraph" w:styleId="aff3">
    <w:name w:val="No Spacing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1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Pr>
      <w:rFonts w:cs="Times New Roman"/>
    </w:rPr>
  </w:style>
  <w:style w:type="paragraph" w:customStyle="1" w:styleId="af8">
    <w:name w:val="Таблицы (моноширинный)"/>
    <w:basedOn w:val="a"/>
    <w:next w:val="a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6z0">
    <w:name w:val="WW8Num6z0"/>
  </w:style>
  <w:style w:type="character" w:customStyle="1" w:styleId="WW-Absatz-Standardschriftart">
    <w:name w:val="WW-Absatz-Standardschriftart"/>
  </w:style>
  <w:style w:type="character" w:customStyle="1" w:styleId="15">
    <w:name w:val="Основной шрифт абзаца1"/>
  </w:style>
  <w:style w:type="character" w:customStyle="1" w:styleId="afc">
    <w:name w:val="Цветовое выделение"/>
    <w:rPr>
      <w:b/>
      <w:color w:val="000080"/>
    </w:rPr>
  </w:style>
  <w:style w:type="character" w:customStyle="1" w:styleId="PlainTextChar">
    <w:name w:val="Plain Text Char"/>
    <w:basedOn w:val="15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</w:style>
  <w:style w:type="character" w:customStyle="1" w:styleId="ListLabel5">
    <w:name w:val="ListLabel 5"/>
    <w:rPr>
      <w:i/>
    </w:rPr>
  </w:style>
  <w:style w:type="character" w:customStyle="1" w:styleId="afd">
    <w:name w:val="Символ нумерации"/>
  </w:style>
  <w:style w:type="paragraph" w:customStyle="1" w:styleId="16">
    <w:name w:val="Заголовок1"/>
    <w:basedOn w:val="a"/>
    <w:next w:val="a0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Pr>
      <w:rFonts w:cs="Times New Roman"/>
      <w:b/>
      <w:bCs/>
    </w:rPr>
  </w:style>
  <w:style w:type="character" w:customStyle="1" w:styleId="apple-converted-space">
    <w:name w:val="apple-converted-space"/>
    <w:basedOn w:val="a1"/>
    <w:rPr>
      <w:rFonts w:cs="Times New Roman"/>
    </w:rPr>
  </w:style>
  <w:style w:type="table" w:styleId="aff2">
    <w:name w:val="Table Grid"/>
    <w:basedOn w:val="a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Pr>
      <w:b/>
      <w:bCs/>
    </w:rPr>
  </w:style>
  <w:style w:type="character" w:customStyle="1" w:styleId="Heading9Char">
    <w:name w:val="Heading 9 Char"/>
    <w:basedOn w:val="15"/>
    <w:rPr>
      <w:b/>
      <w:bCs/>
    </w:rPr>
  </w:style>
  <w:style w:type="character" w:customStyle="1" w:styleId="BodyTextIndentChar">
    <w:name w:val="Body Text Indent Char"/>
    <w:basedOn w:val="15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Pr>
      <w:b/>
      <w:bCs/>
      <w:sz w:val="24"/>
      <w:szCs w:val="24"/>
    </w:rPr>
  </w:style>
  <w:style w:type="character" w:customStyle="1" w:styleId="BalloonTextChar">
    <w:name w:val="Balloon Text Char"/>
    <w:basedOn w:val="15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Pr>
      <w:sz w:val="24"/>
      <w:szCs w:val="24"/>
      <w:lang w:eastAsia="ar-SA" w:bidi="ar-SA"/>
    </w:rPr>
  </w:style>
  <w:style w:type="paragraph" w:styleId="aff3">
    <w:name w:val="No Spacing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obshi-otdel</cp:lastModifiedBy>
  <cp:revision>11</cp:revision>
  <cp:lastPrinted>2023-06-28T05:30:00Z</cp:lastPrinted>
  <dcterms:created xsi:type="dcterms:W3CDTF">2023-06-13T14:20:00Z</dcterms:created>
  <dcterms:modified xsi:type="dcterms:W3CDTF">2023-06-28T12:02:00Z</dcterms:modified>
</cp:coreProperties>
</file>