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  <w:t>СОВЕТ БЛАГОДАРНЕНСКОГО СЕЛЬСКОГО ПОСЕЛЕНИЯ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  <w:t>ОТРАДНЕНСКОГО РАЙОНА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Mangal"/>
          <w:b/>
          <w:spacing w:val="-1"/>
          <w:kern w:val="1"/>
          <w:sz w:val="28"/>
          <w:szCs w:val="28"/>
          <w:lang w:eastAsia="hi-IN" w:bidi="hi-IN"/>
        </w:rPr>
        <w:t>ПЯТДЕСЯТ ЧЕТВЕРТАЯ СЕССИЯ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  <w:t>(</w:t>
      </w:r>
      <w:r>
        <w:rPr>
          <w:rFonts w:ascii="Times New Roman" w:eastAsia="Arial" w:hAnsi="Times New Roman" w:cs="Mangal"/>
          <w:b/>
          <w:kern w:val="1"/>
          <w:sz w:val="28"/>
          <w:szCs w:val="28"/>
          <w:lang w:val="en-US" w:eastAsia="hi-IN" w:bidi="hi-IN"/>
        </w:rPr>
        <w:t>IV</w:t>
      </w:r>
      <w:r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  <w:t xml:space="preserve"> СОЗЫВ)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Mangal"/>
          <w:b/>
          <w:kern w:val="1"/>
          <w:sz w:val="28"/>
          <w:szCs w:val="28"/>
          <w:lang w:eastAsia="hi-IN" w:bidi="hi-I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РЕШЕНИЕ</w:t>
      </w:r>
    </w:p>
    <w:p>
      <w:pPr>
        <w:widowControl w:val="0"/>
        <w:suppressAutoHyphens/>
        <w:spacing w:after="0" w:line="240" w:lineRule="auto"/>
        <w:rPr>
          <w:rFonts w:ascii="Calibri" w:eastAsia="Times New Roman" w:hAnsi="Calibri" w:cs="Mangal"/>
          <w:kern w:val="1"/>
          <w:szCs w:val="28"/>
          <w:lang w:eastAsia="ar-SA" w:bidi="hi-IN"/>
        </w:rPr>
      </w:pPr>
      <w:r>
        <w:rPr>
          <w:rFonts w:ascii="Times New Roman" w:eastAsia="Times New Roman" w:hAnsi="Times New Roman" w:cs="Mangal"/>
          <w:kern w:val="1"/>
          <w:sz w:val="20"/>
          <w:szCs w:val="28"/>
          <w:lang w:eastAsia="hi-IN" w:bidi="hi-IN"/>
        </w:rPr>
        <w:t xml:space="preserve"> 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от  22.12.2022        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ab/>
        <w:t xml:space="preserve">                                                    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ab/>
        <w:t xml:space="preserve">            № 251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с. Благодарное</w:t>
      </w:r>
    </w:p>
    <w:p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на звание  « Лучший орган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самоуправления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района» за  2022 год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Законодательного Собрания Краснодарского края от 28.02.2007 г. № 2936-П «О краевом конкурсе на звание «Лучший орган территориального общественного самоуправления» (в редакции постановления от 16.11.2011 №2911-П),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краевом конкурсе на звание «Лучший орган территориального общественного самоуправления», в целях реализации статьи 27 Федерального закона131-ФЗ  от </w:t>
      </w:r>
      <w:hyperlink r:id="rId5" w:tooltip="6 октябр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октября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«Об общих принципах </w:t>
      </w:r>
      <w:hyperlink r:id="rId6" w:tooltip="Органы местного самоуправлени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граждан для самостоятельного и под свою ответственность осуществления собственных инициатив по вопросам местного значения, распространения положительного опыта </w:t>
      </w:r>
      <w:hyperlink r:id="rId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работы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положение о конкурсе на лучший орган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(приложение №1).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Утвердить состав комиссии по подведению итогов конкурса на лучший орган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(приложение №2).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Итоги конкурса на лучший орган территориального общественного 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подводить ежегодно.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решение 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 информационных стендах поселения.</w:t>
      </w:r>
    </w:p>
    <w:p>
      <w:pPr>
        <w:spacing w:after="0"/>
        <w:ind w:right="-1" w:firstLine="567"/>
        <w:jc w:val="both"/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>Контроль за</w:t>
      </w:r>
      <w:proofErr w:type="gramEnd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 xml:space="preserve"> выполнением настоящего решения возложить на постоянную комиссию по вопросам экономики, бюджета, инвестиций и контролю (Бабаев).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lastRenderedPageBreak/>
        <w:t xml:space="preserve">        6. Настоящее решение вступает в силу со дня его подписания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 xml:space="preserve">Глава </w:t>
      </w:r>
      <w:proofErr w:type="spellStart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Благодарненского</w:t>
      </w:r>
      <w:proofErr w:type="spellEnd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>сельского</w:t>
      </w:r>
      <w:proofErr w:type="gramEnd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 xml:space="preserve">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 xml:space="preserve">поселения </w:t>
      </w:r>
      <w:proofErr w:type="spellStart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>Отрадненского</w:t>
      </w:r>
      <w:proofErr w:type="spellEnd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 xml:space="preserve"> района                                                 </w:t>
      </w:r>
      <w:proofErr w:type="spellStart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>О.В.Охрименко</w:t>
      </w:r>
      <w:proofErr w:type="spellEnd"/>
      <w:r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  <w:t xml:space="preserve">         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0"/>
          <w:lang w:eastAsia="hi-IN" w:bidi="hi-I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Благодарненского</w:t>
      </w:r>
      <w:proofErr w:type="spellEnd"/>
    </w:p>
    <w:p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Отрадненского</w:t>
      </w:r>
      <w:proofErr w:type="spellEnd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района 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ab/>
        <w:t xml:space="preserve">                    </w:t>
      </w:r>
      <w:proofErr w:type="spellStart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А.П.</w:t>
      </w:r>
      <w:proofErr w:type="gramStart"/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Подгорная</w:t>
      </w:r>
      <w:proofErr w:type="spellEnd"/>
      <w:proofErr w:type="gramEnd"/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№1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УТВЕРЖДЕНО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22.12.2022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251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на звание « Лучший орган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 за 2022 год.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проведении конкурса на лучший орган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Положение) разработано в целях: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наибольшего числа граждан для самостоятельного и под свою ответственность осуществления собственных инициатив по вопросам местного значения;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и распространения положительного опыта работы органов территориального общественного самоуправления по участию граждан в благоустройстве территорий дворов, улиц, микрорайонов, населенных пунктов.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конкурсе на лучший орган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конкурс) принимают участие органы территориального общественного самоуправления, расположенные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учрежденные в соответствии с действующим законодательством и имеющие зарегистрированный устав.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администрацией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целью:</w:t>
      </w:r>
    </w:p>
    <w:p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деятельности органов территориального общественного самоуправления, населения по наведению чистоты, порядка, благоустройства в микрорайонах;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населения к озеленению улиц,  дворов, декоративного оформления фасадов зданий.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деятельности органов территориального общественного самоуправления по улучшению работы </w:t>
      </w:r>
      <w:hyperlink r:id="rId8" w:tooltip="Товары для спорт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спортивных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в зимнее и летнее время, увеличению числа площадок, их разнообразия, оснащенности;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привлечения детей и подростков к спортивно-массовой и кружковой работе в </w:t>
      </w:r>
      <w:hyperlink r:id="rId9" w:tooltip="Курсы для школьников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школах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клубах по месту жительства;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населения к </w:t>
      </w:r>
      <w:hyperlink r:id="rId11" w:tooltip="Охрана, сигнализация, видеонаблюдение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охране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порядка, предупреждению и профилактике правонарушений, повышение активности отрядов общественного порядка, развитию сети опорных пунктов;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деятельности работы органов территориального общественного самоуправления в средствах массовой информации.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3. Порядок проведения конкурса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проводится среди органов территориального общественного самоуправления поселения в один этап.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проведения конкурса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создается комиссия в составе представителей Совета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администрации поселения, </w:t>
      </w:r>
      <w:hyperlink r:id="rId12" w:tooltip="Правоохранительные органы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правоохранительных органов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Жилищное хозяйство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жилищно-коммунальных хозяйств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 и др.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 подводит итоги конкурса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выявляет победителя, утверждает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представляет данное постановление и характеристику, отражающую деятельность органа территориального общественного самоуправления, в районную комиссию по подведению итогов конкурса на звание «Лучший орган территориального общественного самоуправления».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  подведении итогов конкурса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руководствоваться показателями, характеризующими работу органов территориального общественного самоуправления по осуществлению ими деятельности по благоустройству своей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самих граждан, так и других, не запрещенных законом источников.</w:t>
      </w:r>
      <w:proofErr w:type="gramEnd"/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Критерии оценки деятельности органов территориального общественного самоуправления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Содействие в реализации решений Совета,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организация выполнения решений собраний, конференций граждан.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Оказание помощи администрации поселения в проведении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но-массовых, хозяйственных и иных мероприятий.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Привлечение населения к работам по благоустройству, озеленению, улучшению санитарного состояния территорий, строительству и </w:t>
      </w:r>
      <w:hyperlink r:id="rId14" w:tooltip="Ремонт дорог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ремонту дорог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улиц, тротуаров, переходных мостов, инженерных сетей, спортивных и </w:t>
      </w:r>
      <w:hyperlink r:id="rId15" w:tooltip="Игры для малыше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площадок и других объектов, </w:t>
      </w:r>
      <w:hyperlink r:id="rId16" w:tooltip="Охрана памятников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охране памятников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ooltip="Истори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культуры, поддержании в надлежащем состоянии кладбищ, братских могил.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Организация населения на ликвидацию сорной растительности, самовольных свалок бытового мусора, болезней и вредителей, сельскохозяйственных и декоративных культур.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Принятие участия в осуществлении мероприятий, направленных на бережное и экономное расходование топлива, тепловой и </w:t>
      </w:r>
      <w:hyperlink r:id="rId18" w:tooltip="Электрика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электрической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газа, воды, своевременной оплаты за использованные энергоносители.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Поддержание в надлежащем состоянии уличного адресного хозяйства (наименование улиц, наличие аншлагов, номерных знаков на домах и строениях).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Оказание содействия администрации поселения в проведении переписи населения, закладке и сверке записей книг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других хозяйственных и общественных мероприятий;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Организация проведения смотров-конкурсов на лучшее содержание улиц, домов, придомовых территорий, приусадебных участков, детских игровых и спортивных площадок.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Содействие администрации поселения в </w:t>
      </w:r>
      <w:hyperlink r:id="rId19" w:tooltip="Организации контроля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организации контроля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4.10.Организация, участие в проведении </w:t>
      </w:r>
      <w:hyperlink r:id="rId20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праздников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улиц, Дней  сёл и хуторов.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Оказание помощи населению в развитии народного </w:t>
      </w:r>
      <w:hyperlink r:id="rId2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творчества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художественной самодеятельности, физической культуры и спорта.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4.12. Содействие учреждениям образования в проведении учета детей </w:t>
      </w:r>
      <w:hyperlink r:id="rId22" w:tooltip="Центр онлайн обучения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школьного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дошкольного возраста, участие в организации </w:t>
      </w:r>
      <w:hyperlink r:id="rId23" w:tooltip="Воспитательная работа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воспитательной работы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и подростками, их досуга во внешкольное время.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4.13.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санитарно-просветительной работе;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4.14. Содействие участковому уполномоченному милиции в укреплении общественного порядка регистрации пребывания и жительства, выявлению лиц, ведущих аморальный образ жизни, искоренению пьянства и самогоноварения.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Оказание помощи органам пожарного надзора за осуществлением мероприятий по обеспечению противопожарного состоянии жилых домов и других объектов, расположенных на подведомственной территории.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4.16.Содействие органам социального обеспечения в проявлении заботы об инвалидах, одиноких, престарелых и малоимущих гражданах, семьях военнослужащих, семьям  участников  ликвидации последствий аварии на Чернобыльской </w:t>
      </w:r>
      <w:hyperlink r:id="rId24" w:tooltip="Атомные электростанции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АЭС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многодетных семьях, оставшихся без родителей.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Оказание помощи в работе  народной  дружины, совета профилактики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общественным организациям.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4.18.Участие в уточнении списков избирателей, содействие депутатам в организации встреч с избирателями.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4.19.Регулярное проведение отчета о своей работе на собраниях, конференциях представителей граждан.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4.20. Своевременное предоставление в администрацию поселения отчетов о проделанной работе.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Организация приема граждан по личным вопросам, своевременное рассмотрение в пределах своих полномочий заявлений, предложений и жалоб граждан.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подведения итогов конкурса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Итоги конкурса подводятся комиссией и оформляются протоколом.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Максимальная оценка за выполнение каждого из критериев, указанных в п.3, настоящего Положения, составляет 5 баллов.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Победитель конкурса определяется по наибольшему числу набранных баллов.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 итогам проведения конкурса издается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 о награждении победителей конкурса.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Награждение победителей конкурса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Органы территориального общественного самоуправления, занявшие призовые места в конкурсе награждаются дипломами.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Вручение дипломов руководителям органов ТОС - победителям конкурса, производится в торжественной обстановке.</w:t>
      </w:r>
    </w:p>
    <w:p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вопросам                                                              И. С. Крюкова </w:t>
      </w: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УТВЕРЖДЕН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proofErr w:type="spellEnd"/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22.12.2022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251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подведению итогов конкурса на звание «  Лучший орган территориального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района» за 2022год.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187"/>
      </w:tblGrid>
      <w:t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Олег Владимирович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7" w:type="dxa"/>
            <w:hideMark/>
          </w:tcPr>
          <w:p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Елена Петровна</w:t>
            </w:r>
          </w:p>
        </w:tc>
        <w:tc>
          <w:tcPr>
            <w:tcW w:w="6187" w:type="dxa"/>
            <w:hideMark/>
          </w:tcPr>
          <w:p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общего отдела  администрации, заместитель председателя комиссии;</w:t>
            </w:r>
          </w:p>
        </w:tc>
      </w:tr>
      <w:t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6187" w:type="dxa"/>
            <w:hideMark/>
          </w:tcPr>
          <w:p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организационным вопросам администрации, секретарь 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</w:p>
        </w:tc>
      </w:tr>
      <w:tr>
        <w:trPr>
          <w:trHeight w:val="447"/>
        </w:trP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7" w:type="dxa"/>
            <w:hideMark/>
          </w:tcPr>
          <w:p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>
        <w:trPr>
          <w:trHeight w:val="741"/>
        </w:trP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Бабаев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Хаял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187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(по согласованию);</w:t>
            </w:r>
          </w:p>
        </w:tc>
      </w:tr>
      <w:tr>
        <w:trPr>
          <w:trHeight w:val="698"/>
        </w:trP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6187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(по согласованию);</w:t>
            </w:r>
          </w:p>
        </w:tc>
      </w:tr>
      <w:tr>
        <w:trPr>
          <w:trHeight w:val="784"/>
        </w:trP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Хизирович</w:t>
            </w:r>
            <w:proofErr w:type="spellEnd"/>
          </w:p>
        </w:tc>
        <w:tc>
          <w:tcPr>
            <w:tcW w:w="6187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>
        <w:trPr>
          <w:trHeight w:val="691"/>
        </w:trPr>
        <w:tc>
          <w:tcPr>
            <w:tcW w:w="3384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Подгорная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Анжелина Петровна</w:t>
            </w:r>
          </w:p>
        </w:tc>
        <w:tc>
          <w:tcPr>
            <w:tcW w:w="6187" w:type="dxa"/>
            <w:hideMark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 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>
        <w:trPr>
          <w:trHeight w:val="842"/>
        </w:trPr>
        <w:tc>
          <w:tcPr>
            <w:tcW w:w="3384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Разумов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Николаевич </w:t>
            </w:r>
          </w:p>
        </w:tc>
        <w:tc>
          <w:tcPr>
            <w:tcW w:w="6187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>
        <w:tc>
          <w:tcPr>
            <w:tcW w:w="3384" w:type="dxa"/>
          </w:tcPr>
          <w:p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 Валентина Андреевна</w:t>
            </w:r>
          </w:p>
        </w:tc>
        <w:tc>
          <w:tcPr>
            <w:tcW w:w="6187" w:type="dxa"/>
          </w:tcPr>
          <w:p>
            <w:pPr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земельным вопросам</w:t>
            </w:r>
          </w:p>
        </w:tc>
      </w:tr>
    </w:tbl>
    <w:p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вопросам                                                              И. С. Крюкова </w:t>
      </w:r>
    </w:p>
    <w:p>
      <w:r>
        <w:t xml:space="preserve"> </w:t>
      </w:r>
    </w:p>
    <w:sectPr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08.php" TargetMode="External"/><Relationship Id="rId13" Type="http://schemas.openxmlformats.org/officeDocument/2006/relationships/hyperlink" Target="http://pandia.ru/text/category/zhilishnoe_hozyajstvo/" TargetMode="External"/><Relationship Id="rId18" Type="http://schemas.openxmlformats.org/officeDocument/2006/relationships/hyperlink" Target="http://pandia.ru/text/categ/wiki/001/108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212.php" TargetMode="Externa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hyperlink" Target="http://pandia.ru/text/category/pravoohranitelmznie_organi/" TargetMode="External"/><Relationship Id="rId17" Type="http://schemas.openxmlformats.org/officeDocument/2006/relationships/hyperlink" Target="http://pandia.ru/text/categ/nauka/109.ph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ohrana_pamyatnikov/" TargetMode="External"/><Relationship Id="rId20" Type="http://schemas.openxmlformats.org/officeDocument/2006/relationships/hyperlink" Target="http://pandia.ru/text/categ/wiki/001/271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/wiki/001/197.php" TargetMode="External"/><Relationship Id="rId24" Type="http://schemas.openxmlformats.org/officeDocument/2006/relationships/hyperlink" Target="http://pandia.ru/text/category/atomnie_yelektrostantcii/" TargetMode="External"/><Relationship Id="rId5" Type="http://schemas.openxmlformats.org/officeDocument/2006/relationships/hyperlink" Target="http://pandia.ru/text/category/6_oktyabrya/" TargetMode="External"/><Relationship Id="rId15" Type="http://schemas.openxmlformats.org/officeDocument/2006/relationships/hyperlink" Target="http://pandia.ru/text/categ/wiki/001/217.php" TargetMode="External"/><Relationship Id="rId23" Type="http://schemas.openxmlformats.org/officeDocument/2006/relationships/hyperlink" Target="http://pandia.ru/text/category/vospitatelmznaya_rabota/" TargetMode="External"/><Relationship Id="rId10" Type="http://schemas.openxmlformats.org/officeDocument/2006/relationships/hyperlink" Target="http://pandia.ru/text/categ/wiki/001/68.php" TargetMode="External"/><Relationship Id="rId19" Type="http://schemas.openxmlformats.org/officeDocument/2006/relationships/hyperlink" Target="http://pandia.ru/text/category/organizatcii_kontro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3.php" TargetMode="External"/><Relationship Id="rId14" Type="http://schemas.openxmlformats.org/officeDocument/2006/relationships/hyperlink" Target="http://pandia.ru/text/category/remont_dorog/" TargetMode="External"/><Relationship Id="rId22" Type="http://schemas.openxmlformats.org/officeDocument/2006/relationships/hyperlink" Target="http://pandia.ru/text/categ/wiki/001/8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org-voprosi</dc:creator>
  <cp:keywords/>
  <dc:description/>
  <cp:lastModifiedBy>org-voprosi</cp:lastModifiedBy>
  <cp:revision>4</cp:revision>
  <dcterms:created xsi:type="dcterms:W3CDTF">2022-12-29T08:39:00Z</dcterms:created>
  <dcterms:modified xsi:type="dcterms:W3CDTF">2022-12-29T12:00:00Z</dcterms:modified>
</cp:coreProperties>
</file>