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" w:hAnsi="Times New Roman" w:cs="Mangal"/>
          <w:b/>
          <w:kern w:val="1"/>
          <w:sz w:val="28"/>
          <w:szCs w:val="28"/>
          <w:lang w:eastAsia="hi-IN" w:bidi="hi-IN"/>
        </w:rPr>
        <w:t>СОВЕТ БЛАГОДАРНЕНСКОГО СЕЛЬСКОГО ПОСЕЛЕНИЯ</w:t>
      </w:r>
    </w:p>
    <w:p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" w:hAnsi="Times New Roman" w:cs="Mangal"/>
          <w:b/>
          <w:kern w:val="1"/>
          <w:sz w:val="28"/>
          <w:szCs w:val="28"/>
          <w:lang w:eastAsia="hi-IN" w:bidi="hi-IN"/>
        </w:rPr>
        <w:t>ОТРАДНЕНСКОГО РАЙОНА</w:t>
      </w:r>
    </w:p>
    <w:p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hi-IN" w:bidi="hi-IN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" w:hAnsi="Times New Roman" w:cs="Mangal"/>
          <w:b/>
          <w:spacing w:val="-1"/>
          <w:kern w:val="1"/>
          <w:sz w:val="28"/>
          <w:szCs w:val="28"/>
          <w:lang w:eastAsia="hi-IN" w:bidi="hi-IN"/>
        </w:rPr>
        <w:t>ПЯТДЕСЯТ ЧЕТВЕРТАЯ СЕССИЯ</w:t>
      </w:r>
    </w:p>
    <w:p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hi-IN" w:bidi="hi-IN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" w:hAnsi="Times New Roman" w:cs="Mangal"/>
          <w:b/>
          <w:kern w:val="1"/>
          <w:sz w:val="28"/>
          <w:szCs w:val="28"/>
          <w:lang w:eastAsia="hi-IN" w:bidi="hi-IN"/>
        </w:rPr>
        <w:t>(</w:t>
      </w:r>
      <w:r>
        <w:rPr>
          <w:rFonts w:ascii="Times New Roman" w:eastAsia="Arial" w:hAnsi="Times New Roman" w:cs="Mangal"/>
          <w:b/>
          <w:kern w:val="1"/>
          <w:sz w:val="28"/>
          <w:szCs w:val="28"/>
          <w:lang w:val="en-US" w:eastAsia="hi-IN" w:bidi="hi-IN"/>
        </w:rPr>
        <w:t>IV</w:t>
      </w:r>
      <w:r>
        <w:rPr>
          <w:rFonts w:ascii="Times New Roman" w:eastAsia="Arial" w:hAnsi="Times New Roman" w:cs="Mangal"/>
          <w:b/>
          <w:kern w:val="1"/>
          <w:sz w:val="28"/>
          <w:szCs w:val="28"/>
          <w:lang w:eastAsia="hi-IN" w:bidi="hi-IN"/>
        </w:rPr>
        <w:t xml:space="preserve"> СОЗЫВ)</w:t>
      </w:r>
    </w:p>
    <w:p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hi-IN" w:bidi="hi-IN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РЕШЕНИЕ</w:t>
      </w:r>
    </w:p>
    <w:p>
      <w:pPr>
        <w:widowControl w:val="0"/>
        <w:suppressAutoHyphens/>
        <w:spacing w:after="0" w:line="240" w:lineRule="auto"/>
        <w:rPr>
          <w:rFonts w:ascii="Calibri" w:eastAsia="Times New Roman" w:hAnsi="Calibri" w:cs="Mangal"/>
          <w:kern w:val="1"/>
          <w:szCs w:val="28"/>
          <w:lang w:eastAsia="ar-SA" w:bidi="hi-IN"/>
        </w:rPr>
      </w:pPr>
      <w:r>
        <w:rPr>
          <w:rFonts w:ascii="Times New Roman" w:eastAsia="Times New Roman" w:hAnsi="Times New Roman" w:cs="Mangal"/>
          <w:kern w:val="1"/>
          <w:sz w:val="20"/>
          <w:szCs w:val="28"/>
          <w:lang w:eastAsia="hi-IN" w:bidi="hi-IN"/>
        </w:rPr>
        <w:t xml:space="preserve"> </w:t>
      </w:r>
    </w:p>
    <w:p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от  22.12.2022        </w:t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  <w:t xml:space="preserve">                                                    </w:t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  <w:t xml:space="preserve">            № 251</w:t>
      </w:r>
    </w:p>
    <w:p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с. Благодарное</w:t>
      </w:r>
    </w:p>
    <w:p>
      <w:pPr>
        <w:spacing w:after="0" w:line="28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конкурса на звание  « Лучший орган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общественного самоуправления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сельского поселения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района» за  2022 год 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Законодательного Собрания Краснодарского края от 28.02.2007 г. № 2936-П «О краевом конкурсе на звание «Лучший орган территориального общественного самоуправления» (в редакции постановления от 16.11.2011 №2911-П),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краевом конкурсе на звание «Лучший орган территориального общественного самоуправления», в целях реализации статьи 27 Федерального закона131-ФЗ  от </w:t>
      </w:r>
      <w:hyperlink r:id="rId5" w:tooltip="6 октября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октября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года «Об общих принципах </w:t>
      </w:r>
      <w:hyperlink r:id="rId6" w:tooltip="Органы местного самоуправления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граждан для самостоятельного и под свою ответственность осуществления собственных инициатив по вопросам местного значения, распространения положительного опыта </w:t>
      </w:r>
      <w:hyperlink r:id="rId7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работы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общественного самоуправления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 поселении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района,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положение о конкурсе на лучший орган территориального общественного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(приложение №1).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Утвердить состав комиссии по подведению итогов конкурса на лучший орган территориального общественного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(приложение №2).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Итоги конкурса на лучший орган территориального общественного самоуправления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подводить ежегодно.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Настоящее решение 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 информационных стендах поселения.</w:t>
      </w:r>
    </w:p>
    <w:p>
      <w:pPr>
        <w:spacing w:after="0"/>
        <w:ind w:right="-1" w:firstLine="567"/>
        <w:jc w:val="both"/>
        <w:rPr>
          <w:rFonts w:ascii="Times New Roman" w:eastAsia="Times New Roman" w:hAnsi="Times New Roman" w:cs="Mangal"/>
          <w:kern w:val="1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Mangal"/>
          <w:kern w:val="1"/>
          <w:sz w:val="28"/>
          <w:szCs w:val="20"/>
          <w:lang w:eastAsia="hi-IN" w:bidi="hi-IN"/>
        </w:rPr>
        <w:t>Контроль за</w:t>
      </w:r>
      <w:proofErr w:type="gramEnd"/>
      <w:r>
        <w:rPr>
          <w:rFonts w:ascii="Times New Roman" w:eastAsia="Times New Roman" w:hAnsi="Times New Roman" w:cs="Mangal"/>
          <w:kern w:val="1"/>
          <w:sz w:val="28"/>
          <w:szCs w:val="20"/>
          <w:lang w:eastAsia="hi-IN" w:bidi="hi-IN"/>
        </w:rPr>
        <w:t xml:space="preserve"> выполнением настоящего решения возложить на постоянную комиссию по вопросам экономики, бюджета, инвестиций и контролю (Бабаев).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Mangal"/>
          <w:kern w:val="1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28"/>
          <w:szCs w:val="20"/>
          <w:lang w:eastAsia="hi-IN" w:bidi="hi-IN"/>
        </w:rPr>
        <w:lastRenderedPageBreak/>
        <w:t xml:space="preserve">        6. Настоящее решение вступает в силу со дня его подписания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Mangal"/>
          <w:kern w:val="1"/>
          <w:sz w:val="28"/>
          <w:szCs w:val="20"/>
          <w:lang w:eastAsia="hi-IN" w:bidi="hi-IN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28"/>
          <w:szCs w:val="20"/>
          <w:lang w:eastAsia="hi-IN" w:bidi="hi-IN"/>
        </w:rPr>
        <w:t xml:space="preserve">Глава </w:t>
      </w:r>
      <w:proofErr w:type="spellStart"/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Благодарненского</w:t>
      </w:r>
      <w:proofErr w:type="spellEnd"/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gramStart"/>
      <w:r>
        <w:rPr>
          <w:rFonts w:ascii="Times New Roman" w:eastAsia="Times New Roman" w:hAnsi="Times New Roman" w:cs="Mangal"/>
          <w:kern w:val="1"/>
          <w:sz w:val="28"/>
          <w:szCs w:val="20"/>
          <w:lang w:eastAsia="hi-IN" w:bidi="hi-IN"/>
        </w:rPr>
        <w:t>сельского</w:t>
      </w:r>
      <w:proofErr w:type="gramEnd"/>
      <w:r>
        <w:rPr>
          <w:rFonts w:ascii="Times New Roman" w:eastAsia="Times New Roman" w:hAnsi="Times New Roman" w:cs="Mangal"/>
          <w:kern w:val="1"/>
          <w:sz w:val="28"/>
          <w:szCs w:val="20"/>
          <w:lang w:eastAsia="hi-IN" w:bidi="hi-IN"/>
        </w:rPr>
        <w:t xml:space="preserve"> 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28"/>
          <w:szCs w:val="20"/>
          <w:lang w:eastAsia="hi-IN" w:bidi="hi-IN"/>
        </w:rPr>
        <w:t xml:space="preserve">поселения </w:t>
      </w:r>
      <w:proofErr w:type="spellStart"/>
      <w:r>
        <w:rPr>
          <w:rFonts w:ascii="Times New Roman" w:eastAsia="Times New Roman" w:hAnsi="Times New Roman" w:cs="Mangal"/>
          <w:kern w:val="1"/>
          <w:sz w:val="28"/>
          <w:szCs w:val="20"/>
          <w:lang w:eastAsia="hi-IN" w:bidi="hi-IN"/>
        </w:rPr>
        <w:t>Отрадненского</w:t>
      </w:r>
      <w:proofErr w:type="spellEnd"/>
      <w:r>
        <w:rPr>
          <w:rFonts w:ascii="Times New Roman" w:eastAsia="Times New Roman" w:hAnsi="Times New Roman" w:cs="Mangal"/>
          <w:kern w:val="1"/>
          <w:sz w:val="28"/>
          <w:szCs w:val="20"/>
          <w:lang w:eastAsia="hi-IN" w:bidi="hi-IN"/>
        </w:rPr>
        <w:t xml:space="preserve"> района                                                 </w:t>
      </w:r>
      <w:proofErr w:type="spellStart"/>
      <w:r>
        <w:rPr>
          <w:rFonts w:ascii="Times New Roman" w:eastAsia="Times New Roman" w:hAnsi="Times New Roman" w:cs="Mangal"/>
          <w:kern w:val="1"/>
          <w:sz w:val="28"/>
          <w:szCs w:val="20"/>
          <w:lang w:eastAsia="hi-IN" w:bidi="hi-IN"/>
        </w:rPr>
        <w:t>О.В.Охрименко</w:t>
      </w:r>
      <w:proofErr w:type="spellEnd"/>
      <w:r>
        <w:rPr>
          <w:rFonts w:ascii="Times New Roman" w:eastAsia="Times New Roman" w:hAnsi="Times New Roman" w:cs="Mangal"/>
          <w:kern w:val="1"/>
          <w:sz w:val="28"/>
          <w:szCs w:val="20"/>
          <w:lang w:eastAsia="hi-IN" w:bidi="hi-IN"/>
        </w:rPr>
        <w:t xml:space="preserve">         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0"/>
          <w:lang w:eastAsia="hi-IN" w:bidi="hi-IN"/>
        </w:rPr>
      </w:pPr>
    </w:p>
    <w:p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Председатель Совета </w:t>
      </w:r>
      <w:proofErr w:type="spellStart"/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Благодарненского</w:t>
      </w:r>
      <w:proofErr w:type="spellEnd"/>
    </w:p>
    <w:p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Отрадненского</w:t>
      </w:r>
      <w:proofErr w:type="spellEnd"/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района </w:t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  <w:t xml:space="preserve">                    </w:t>
      </w:r>
      <w:proofErr w:type="spellStart"/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А.П.</w:t>
      </w:r>
      <w:proofErr w:type="gramStart"/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Подгорная</w:t>
      </w:r>
      <w:proofErr w:type="spellEnd"/>
      <w:proofErr w:type="gramEnd"/>
    </w:p>
    <w:p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ПРИЛОЖЕНИЕ №1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УТВЕРЖДЕНО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решением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22.12.2022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251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конкурса на звание « Лучший орган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общественного самоуправления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района» за 2022 год.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о проведении конкурса на лучший орган территориального общественного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Положение) разработано в целях: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наибольшего числа граждан для самостоятельного и под свою ответственность осуществления собственных инициатив по вопросам местного значения;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обобщения и распространения положительного опыта работы органов территориального общественного самоуправления по участию граждан в благоустройстве территорий дворов, улиц, микрорайонов, населенных пунктов.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конкурсе на лучший орган территориального общественного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конкурс) принимают участие органы территориального общественного самоуправления, расположенные в границах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учрежденные в соответствии с действующим законодательством и имеющие зарегистрированный устав.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конкурса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Конкурс проводится администрацией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целью:</w:t>
      </w:r>
    </w:p>
    <w:p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деятельности органов территориального общественного самоуправления, населения по наведению чистоты, порядка, благоустройства в микрорайонах;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населения к озеленению улиц,  дворов, декоративного оформления фасадов зданий.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активизации деятельности органов территориального общественного самоуправления по улучшению работы </w:t>
      </w:r>
      <w:hyperlink r:id="rId8" w:tooltip="Товары для спорта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спортивных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 в зимнее и летнее время, увеличению числа площадок, их разнообразия, оснащенности;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привлечения детей и подростков к спортивно-массовой и кружковой работе в </w:t>
      </w:r>
      <w:hyperlink r:id="rId9" w:tooltip="Курсы для школьников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школах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детских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клубах по месту жительства;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населения к </w:t>
      </w:r>
      <w:hyperlink r:id="rId11" w:tooltip="Охрана, сигнализация, видеонаблюдение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охране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порядка, предупреждению и профилактике правонарушений, повышение активности отрядов общественного порядка, развитию сети опорных пунктов;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 деятельности работы органов территориального общественного самоуправления в средствах массовой информации.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3. Порядок проведения конкурса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Конкурс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проводится среди органов территориального общественного самоуправления поселения в один этап.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проведения конкурса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создается комиссия в составе представителей Совета депутатов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администрации поселения, </w:t>
      </w:r>
      <w:hyperlink r:id="rId12" w:tooltip="Правоохранительные органы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правоохранительных органов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tooltip="Жилищное хозяйство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жилищно-коммунальных хозяйств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общественных организаций и др.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Комиссия подводит итоги конкурса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выявляет победителя, утверждает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представляет данное постановление и характеристику, отражающую деятельность органа территориального общественного самоуправления, в районную комиссию по подведению итогов конкурса на звание «Лучший орган территориального общественного самоуправления».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при  подведении итогов конкурса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руководствоваться показателями, характеризующими работу органов территориального общественного самоуправления по осуществлению ими деятельности по благоустройству своей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самих граждан, так и других, не запрещенных законом источников.</w:t>
      </w:r>
      <w:proofErr w:type="gramEnd"/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Критерии оценки деятельности органов территориального общественного самоуправления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Содействие в реализации решений Совета,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также организация выполнения решений собраний, конференций граждан.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Оказание помощи администрации поселения в проведении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но-массовых, хозяйственных и иных мероприятий.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Привлечение населения к работам по благоустройству, озеленению, улучшению санитарного состояния территорий, строительству и </w:t>
      </w:r>
      <w:hyperlink r:id="rId14" w:tooltip="Ремонт дорог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ремонту дорог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улиц, тротуаров, переходных мостов, инженерных сетей, спортивных и </w:t>
      </w:r>
      <w:hyperlink r:id="rId15" w:tooltip="Игры для малышей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детских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площадок и других объектов, </w:t>
      </w:r>
      <w:hyperlink r:id="rId16" w:tooltip="Охрана памятников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охране памятников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tooltip="История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культуры, поддержании в надлежащем состоянии кладбищ, братских могил.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Организация населения на ликвидацию сорной растительности, самовольных свалок бытового мусора, болезней и вредителей, сельскохозяйственных и декоративных культур.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Принятие участия в осуществлении мероприятий, направленных на бережное и экономное расходование топлива, тепловой и </w:t>
      </w:r>
      <w:hyperlink r:id="rId18" w:tooltip="Электрика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электрической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энергии, газа, воды, своевременной оплаты за использованные энергоносители.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Поддержание в надлежащем состоянии уличного адресного хозяйства (наименование улиц, наличие аншлагов, номерных знаков на домах и строениях).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Оказание содействия администрации поселения в проведении переписи населения, закладке и сверке записей книг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учета, других хозяйственных и общественных мероприятий;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 Организация проведения смотров-конкурсов на лучшее содержание улиц, домов, придомовых территорий, приусадебных участков, детских игровых и спортивных площадок.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Содействие администрации поселения в </w:t>
      </w:r>
      <w:hyperlink r:id="rId19" w:tooltip="Организации контроля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организации контроля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территории.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4.10.Организация, участие в проведении </w:t>
      </w:r>
      <w:hyperlink r:id="rId20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праздников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улиц, Дней  сёл и хуторов.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Оказание помощи населению в развитии народного </w:t>
      </w:r>
      <w:hyperlink r:id="rId21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творчества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художественной самодеятельности, физической культуры и спорта.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4.12. Содействие учреждениям образования в проведении учета детей </w:t>
      </w:r>
      <w:hyperlink r:id="rId22" w:tooltip="Центр онлайн обучения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школьного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дошкольного возраста, участие в организации </w:t>
      </w:r>
      <w:hyperlink r:id="rId23" w:tooltip="Воспитательная работа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воспитательной работы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детьми и подростками, их досуга во внешкольное время.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4.13. Содействие учреждениям здравоохранения в медицинском обслуживании населения, проведении профилактических и противоэпидемиологических мероприятий, санитарно-просветительной работе;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4.14. Содействие участковому уполномоченному милиции в укреплении общественного порядка регистрации пребывания и жительства, выявлению лиц, ведущих аморальный образ жизни, искоренению пьянства и самогоноварения.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Оказание помощи органам пожарного надзора за осуществлением мероприятий по обеспечению противопожарного состоянии жилых домов и других объектов, расположенных на подведомственной территории.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4.16.Содействие органам социального обеспечения в проявлении заботы об инвалидах, одиноких, престарелых и малоимущих гражданах, семьях военнослужащих, семьям  участников  ликвидации последствий аварии на Чернобыльской </w:t>
      </w:r>
      <w:hyperlink r:id="rId24" w:tooltip="Атомные электростанции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АЭС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многодетных семьях, оставшихся без родителей.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4.17. Оказание помощи в работе  народной  дружины, совета профилактики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 общественным организациям.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4.18.Участие в уточнении списков избирателей, содействие депутатам в организации встреч с избирателями.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4.19.Регулярное проведение отчета о своей работе на собраниях, конференциях представителей граждан.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4.20. Своевременное предоставление в администрацию поселения отчетов о проделанной работе.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4.21. Организация приема граждан по личным вопросам, своевременное рассмотрение в пределах своих полномочий заявлений, предложений и жалоб граждан.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подведения итогов конкурса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Итоги конкурса подводятся комиссией и оформляются протоколом.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Максимальная оценка за выполнение каждого из критериев, указанных в п.3, настоящего Положения, составляет 5 баллов.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Победитель конкурса определяется по наибольшему числу набранных баллов.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 итогам проведения конкурса издается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района  о награждении победителей конкурса.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Награждение победителей конкурса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Органы территориального общественного самоуправления, занявшие призовые места в конкурсе награждаются дипломами.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Вручение дипломов руководителям органов ТОС - победителям конкурса, производится в торжественной обстановке.</w:t>
      </w:r>
    </w:p>
    <w:p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организационным вопросам                                                              И. С. Крюкова </w:t>
      </w:r>
    </w:p>
    <w:p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УТВЕРЖДЕН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решением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22.12.2022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251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подведению итогов конкурса на звание «  Лучший орган территориального общественного самоуправления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района» за 2022год.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6187"/>
      </w:tblGrid>
      <w:tr>
        <w:tc>
          <w:tcPr>
            <w:tcW w:w="3384" w:type="dxa"/>
            <w:hideMark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Охрименко Олег Владимирович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7" w:type="dxa"/>
            <w:hideMark/>
          </w:tcPr>
          <w:p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района, председатель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c>
          <w:tcPr>
            <w:tcW w:w="3384" w:type="dxa"/>
            <w:hideMark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 Елена Петровна</w:t>
            </w:r>
          </w:p>
        </w:tc>
        <w:tc>
          <w:tcPr>
            <w:tcW w:w="6187" w:type="dxa"/>
            <w:hideMark/>
          </w:tcPr>
          <w:p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общего отдела  администрации, заместитель председателя комиссии;</w:t>
            </w:r>
          </w:p>
        </w:tc>
      </w:tr>
      <w:tr>
        <w:tc>
          <w:tcPr>
            <w:tcW w:w="3384" w:type="dxa"/>
            <w:hideMark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Сергеевна</w:t>
            </w:r>
          </w:p>
        </w:tc>
        <w:tc>
          <w:tcPr>
            <w:tcW w:w="6187" w:type="dxa"/>
            <w:hideMark/>
          </w:tcPr>
          <w:p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организационным вопросам администрации, секретарь 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</w:t>
            </w:r>
          </w:p>
        </w:tc>
      </w:tr>
      <w:tr>
        <w:trPr>
          <w:trHeight w:val="447"/>
        </w:trPr>
        <w:tc>
          <w:tcPr>
            <w:tcW w:w="3384" w:type="dxa"/>
            <w:hideMark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7" w:type="dxa"/>
            <w:hideMark/>
          </w:tcPr>
          <w:p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>
        <w:trPr>
          <w:trHeight w:val="741"/>
        </w:trPr>
        <w:tc>
          <w:tcPr>
            <w:tcW w:w="3384" w:type="dxa"/>
            <w:hideMark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Бабаев 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Хаял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6187" w:type="dxa"/>
            <w:hideMark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Совета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(по согласованию);</w:t>
            </w:r>
          </w:p>
        </w:tc>
      </w:tr>
      <w:tr>
        <w:trPr>
          <w:trHeight w:val="698"/>
        </w:trPr>
        <w:tc>
          <w:tcPr>
            <w:tcW w:w="3384" w:type="dxa"/>
            <w:hideMark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Николаевич</w:t>
            </w:r>
          </w:p>
        </w:tc>
        <w:tc>
          <w:tcPr>
            <w:tcW w:w="6187" w:type="dxa"/>
            <w:hideMark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Совета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(по согласованию);</w:t>
            </w:r>
          </w:p>
        </w:tc>
      </w:tr>
      <w:tr>
        <w:trPr>
          <w:trHeight w:val="784"/>
        </w:trPr>
        <w:tc>
          <w:tcPr>
            <w:tcW w:w="3384" w:type="dxa"/>
            <w:hideMark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Хизирович</w:t>
            </w:r>
            <w:proofErr w:type="spellEnd"/>
          </w:p>
        </w:tc>
        <w:tc>
          <w:tcPr>
            <w:tcW w:w="6187" w:type="dxa"/>
            <w:hideMark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Совета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>
        <w:trPr>
          <w:trHeight w:val="691"/>
        </w:trPr>
        <w:tc>
          <w:tcPr>
            <w:tcW w:w="3384" w:type="dxa"/>
            <w:hideMark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Подгорная 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Анжелина Петровна</w:t>
            </w:r>
          </w:p>
        </w:tc>
        <w:tc>
          <w:tcPr>
            <w:tcW w:w="6187" w:type="dxa"/>
            <w:hideMark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 Совета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>
        <w:trPr>
          <w:trHeight w:val="842"/>
        </w:trPr>
        <w:tc>
          <w:tcPr>
            <w:tcW w:w="3384" w:type="dxa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Разумов 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 Николаевич </w:t>
            </w:r>
          </w:p>
        </w:tc>
        <w:tc>
          <w:tcPr>
            <w:tcW w:w="6187" w:type="dxa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>
        <w:tc>
          <w:tcPr>
            <w:tcW w:w="3384" w:type="dxa"/>
          </w:tcPr>
          <w:p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Рыбалко Валентина Андреевна</w:t>
            </w:r>
          </w:p>
        </w:tc>
        <w:tc>
          <w:tcPr>
            <w:tcW w:w="6187" w:type="dxa"/>
          </w:tcPr>
          <w:p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 по земельным вопросам</w:t>
            </w:r>
          </w:p>
        </w:tc>
      </w:tr>
    </w:tbl>
    <w:p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организационным вопросам                                                              И. С. Крюкова </w:t>
      </w:r>
    </w:p>
    <w:p>
      <w:r>
        <w:t xml:space="preserve"> </w:t>
      </w:r>
    </w:p>
    <w:sectPr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08.php" TargetMode="External"/><Relationship Id="rId13" Type="http://schemas.openxmlformats.org/officeDocument/2006/relationships/hyperlink" Target="http://pandia.ru/text/category/zhilishnoe_hozyajstvo/" TargetMode="External"/><Relationship Id="rId18" Type="http://schemas.openxmlformats.org/officeDocument/2006/relationships/hyperlink" Target="http://pandia.ru/text/categ/wiki/001/108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/wiki/001/212.php" TargetMode="External"/><Relationship Id="rId7" Type="http://schemas.openxmlformats.org/officeDocument/2006/relationships/hyperlink" Target="http://pandia.ru/text/categ/wiki/001/92.php" TargetMode="External"/><Relationship Id="rId12" Type="http://schemas.openxmlformats.org/officeDocument/2006/relationships/hyperlink" Target="http://pandia.ru/text/category/pravoohranitelmznie_organi/" TargetMode="External"/><Relationship Id="rId17" Type="http://schemas.openxmlformats.org/officeDocument/2006/relationships/hyperlink" Target="http://pandia.ru/text/categ/nauka/109.php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ory/ohrana_pamyatnikov/" TargetMode="External"/><Relationship Id="rId20" Type="http://schemas.openxmlformats.org/officeDocument/2006/relationships/hyperlink" Target="http://pandia.ru/text/categ/wiki/001/271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hyperlink" Target="http://pandia.ru/text/categ/wiki/001/197.php" TargetMode="External"/><Relationship Id="rId24" Type="http://schemas.openxmlformats.org/officeDocument/2006/relationships/hyperlink" Target="http://pandia.ru/text/category/atomnie_yelektrostantcii/" TargetMode="External"/><Relationship Id="rId5" Type="http://schemas.openxmlformats.org/officeDocument/2006/relationships/hyperlink" Target="http://pandia.ru/text/category/6_oktyabrya/" TargetMode="External"/><Relationship Id="rId15" Type="http://schemas.openxmlformats.org/officeDocument/2006/relationships/hyperlink" Target="http://pandia.ru/text/categ/wiki/001/217.php" TargetMode="External"/><Relationship Id="rId23" Type="http://schemas.openxmlformats.org/officeDocument/2006/relationships/hyperlink" Target="http://pandia.ru/text/category/vospitatelmznaya_rabota/" TargetMode="External"/><Relationship Id="rId10" Type="http://schemas.openxmlformats.org/officeDocument/2006/relationships/hyperlink" Target="http://pandia.ru/text/categ/wiki/001/68.php" TargetMode="External"/><Relationship Id="rId19" Type="http://schemas.openxmlformats.org/officeDocument/2006/relationships/hyperlink" Target="http://pandia.ru/text/category/organizatcii_kontrol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83.php" TargetMode="External"/><Relationship Id="rId14" Type="http://schemas.openxmlformats.org/officeDocument/2006/relationships/hyperlink" Target="http://pandia.ru/text/category/remont_dorog/" TargetMode="External"/><Relationship Id="rId22" Type="http://schemas.openxmlformats.org/officeDocument/2006/relationships/hyperlink" Target="http://pandia.ru/text/categ/wiki/001/84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org-voprosi</dc:creator>
  <cp:keywords/>
  <dc:description/>
  <cp:lastModifiedBy>org-voprosi</cp:lastModifiedBy>
  <cp:revision>4</cp:revision>
  <dcterms:created xsi:type="dcterms:W3CDTF">2022-12-29T08:39:00Z</dcterms:created>
  <dcterms:modified xsi:type="dcterms:W3CDTF">2022-12-29T12:00:00Z</dcterms:modified>
</cp:coreProperties>
</file>